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F1062A" w:rsidRDefault="00A762AB" w:rsidP="00A762AB">
      <w:pPr>
        <w:pStyle w:val="Default"/>
        <w:jc w:val="center"/>
        <w:rPr>
          <w:sz w:val="23"/>
          <w:szCs w:val="23"/>
          <w:lang w:val="ru-RU"/>
        </w:rPr>
      </w:pPr>
      <w:r w:rsidRPr="008A3998">
        <w:rPr>
          <w:b/>
          <w:bCs/>
          <w:sz w:val="23"/>
          <w:szCs w:val="23"/>
        </w:rPr>
        <w:t>КОМЕРЦІЙНА ПРОПОЗИЦІЯ №</w:t>
      </w:r>
      <w:r w:rsidR="00FE38F5" w:rsidRPr="00F1062A">
        <w:rPr>
          <w:b/>
          <w:bCs/>
          <w:sz w:val="23"/>
          <w:szCs w:val="23"/>
          <w:lang w:val="ru-RU"/>
        </w:rPr>
        <w:t>1</w:t>
      </w:r>
    </w:p>
    <w:p w:rsidR="00A762AB" w:rsidRPr="008A3998" w:rsidRDefault="00A762AB" w:rsidP="00A762AB">
      <w:pPr>
        <w:pStyle w:val="Default"/>
        <w:rPr>
          <w:sz w:val="23"/>
          <w:szCs w:val="23"/>
        </w:rPr>
      </w:pPr>
      <w:r w:rsidRPr="008A3998">
        <w:rPr>
          <w:b/>
          <w:bCs/>
          <w:sz w:val="23"/>
          <w:szCs w:val="23"/>
        </w:rPr>
        <w:t>від «</w:t>
      </w:r>
      <w:r w:rsidR="005F0DFA" w:rsidRPr="00FE38F5">
        <w:rPr>
          <w:b/>
          <w:bCs/>
          <w:sz w:val="23"/>
          <w:szCs w:val="23"/>
          <w:lang w:val="ru-RU"/>
        </w:rPr>
        <w:t>__</w:t>
      </w:r>
      <w:r w:rsidRPr="008A3998">
        <w:rPr>
          <w:b/>
          <w:bCs/>
          <w:sz w:val="23"/>
          <w:szCs w:val="23"/>
        </w:rPr>
        <w:t xml:space="preserve">» </w:t>
      </w:r>
      <w:r w:rsidR="005F0DFA" w:rsidRPr="00FE38F5">
        <w:rPr>
          <w:b/>
          <w:bCs/>
          <w:sz w:val="23"/>
          <w:szCs w:val="23"/>
          <w:lang w:val="ru-RU"/>
        </w:rPr>
        <w:t>______</w:t>
      </w:r>
      <w:r w:rsidRPr="008A3998">
        <w:rPr>
          <w:b/>
          <w:bCs/>
          <w:sz w:val="23"/>
          <w:szCs w:val="23"/>
        </w:rPr>
        <w:t xml:space="preserve"> 20</w:t>
      </w:r>
      <w:r w:rsidR="000733FF">
        <w:rPr>
          <w:b/>
          <w:bCs/>
          <w:sz w:val="23"/>
          <w:szCs w:val="23"/>
          <w:lang w:val="en-US"/>
        </w:rPr>
        <w:t>_</w:t>
      </w:r>
      <w:r w:rsidR="005F0DFA" w:rsidRPr="00FE38F5">
        <w:rPr>
          <w:b/>
          <w:bCs/>
          <w:sz w:val="23"/>
          <w:szCs w:val="23"/>
          <w:lang w:val="ru-RU"/>
        </w:rPr>
        <w:t>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w:t>
      </w:r>
      <w:proofErr w:type="spellStart"/>
      <w:r w:rsidRPr="008A3998">
        <w:rPr>
          <w:i/>
          <w:iCs/>
          <w:sz w:val="20"/>
          <w:szCs w:val="20"/>
        </w:rPr>
        <w:t>електроспоживання</w:t>
      </w:r>
      <w:proofErr w:type="spellEnd"/>
      <w:r w:rsidRPr="008A3998">
        <w:rPr>
          <w:i/>
          <w:iCs/>
          <w:sz w:val="20"/>
          <w:szCs w:val="20"/>
        </w:rPr>
        <w:t xml:space="preserve">,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0733FF">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0733FF">
              <w:rPr>
                <w:sz w:val="20"/>
                <w:szCs w:val="20"/>
                <w:lang w:val="en-US"/>
              </w:rPr>
              <w:t>3</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0733FF">
              <w:rPr>
                <w:sz w:val="20"/>
                <w:szCs w:val="20"/>
                <w:lang w:val="en-US"/>
              </w:rPr>
              <w:t>3</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1062A">
            <w:pPr>
              <w:pStyle w:val="Default"/>
              <w:rPr>
                <w:sz w:val="20"/>
                <w:szCs w:val="20"/>
              </w:rPr>
            </w:pPr>
            <w:r w:rsidRPr="008A3998">
              <w:rPr>
                <w:b/>
                <w:bCs/>
                <w:sz w:val="20"/>
                <w:szCs w:val="20"/>
              </w:rPr>
              <w:t>(тариф «</w:t>
            </w:r>
            <w:r w:rsidR="00F1062A">
              <w:rPr>
                <w:b/>
                <w:bCs/>
                <w:sz w:val="20"/>
                <w:szCs w:val="20"/>
              </w:rPr>
              <w:t>бе</w:t>
            </w:r>
            <w:r w:rsidRPr="008A3998">
              <w:rPr>
                <w:b/>
                <w:bCs/>
                <w:sz w:val="20"/>
                <w:szCs w:val="20"/>
              </w:rPr>
              <w:t>з тариф</w:t>
            </w:r>
            <w:r w:rsidR="00F1062A">
              <w:rPr>
                <w:b/>
                <w:bCs/>
                <w:sz w:val="20"/>
                <w:szCs w:val="20"/>
              </w:rPr>
              <w:t>а</w:t>
            </w:r>
            <w:r w:rsidRPr="008A3998">
              <w:rPr>
                <w:b/>
                <w:bCs/>
                <w:sz w:val="20"/>
                <w:szCs w:val="20"/>
              </w:rPr>
              <w:t xml:space="preserve"> ОСР»</w:t>
            </w:r>
            <w:r w:rsidR="00F1062A">
              <w:rPr>
                <w:b/>
                <w:bCs/>
                <w:sz w:val="20"/>
                <w:szCs w:val="20"/>
              </w:rPr>
              <w:t>,оплата по факту споживання</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proofErr w:type="spellStart"/>
            <w:r>
              <w:rPr>
                <w:sz w:val="20"/>
                <w:szCs w:val="20"/>
              </w:rPr>
              <w:t>Ц=Ц</w:t>
            </w:r>
            <w:r>
              <w:rPr>
                <w:sz w:val="20"/>
                <w:szCs w:val="20"/>
                <w:vertAlign w:val="subscript"/>
              </w:rPr>
              <w:t>розр</w:t>
            </w:r>
            <w:proofErr w:type="spellEnd"/>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тариф на послуги постачальника електричної енергії</w:t>
            </w:r>
            <w:r w:rsidRPr="0063474A">
              <w:rPr>
                <w:iCs/>
                <w:sz w:val="20"/>
                <w:szCs w:val="20"/>
              </w:rPr>
              <w:t xml:space="preserve"> (</w:t>
            </w:r>
            <w:r>
              <w:rPr>
                <w:iCs/>
                <w:sz w:val="20"/>
                <w:szCs w:val="20"/>
              </w:rPr>
              <w:t>складає 0,1</w:t>
            </w:r>
            <w:r w:rsidR="00FE38F5" w:rsidRPr="00FE38F5">
              <w:rPr>
                <w:iCs/>
                <w:sz w:val="20"/>
                <w:szCs w:val="20"/>
              </w:rPr>
              <w:t>5</w:t>
            </w:r>
            <w:r>
              <w:rPr>
                <w:iCs/>
                <w:sz w:val="20"/>
                <w:szCs w:val="20"/>
              </w:rPr>
              <w:t xml:space="preserve"> </w:t>
            </w:r>
            <w:proofErr w:type="spellStart"/>
            <w:r>
              <w:rPr>
                <w:iCs/>
                <w:sz w:val="20"/>
                <w:szCs w:val="20"/>
              </w:rPr>
              <w:t>грн</w:t>
            </w:r>
            <w:proofErr w:type="spellEnd"/>
            <w:r>
              <w:rPr>
                <w:iCs/>
                <w:sz w:val="20"/>
                <w:szCs w:val="20"/>
              </w:rPr>
              <w:t xml:space="preserve"> за 1 </w:t>
            </w:r>
            <w:proofErr w:type="spellStart"/>
            <w:r w:rsidRPr="00C12D29">
              <w:rPr>
                <w:sz w:val="20"/>
                <w:szCs w:val="20"/>
              </w:rPr>
              <w:t>кВт.год</w:t>
            </w:r>
            <w:proofErr w:type="spellEnd"/>
            <w:r w:rsidRPr="00C12D29">
              <w:rPr>
                <w:sz w:val="20"/>
                <w:szCs w:val="20"/>
              </w:rPr>
              <w:t>. електричної енергії</w:t>
            </w:r>
            <w:r>
              <w:rPr>
                <w:sz w:val="20"/>
                <w:szCs w:val="20"/>
              </w:rPr>
              <w:t xml:space="preserve"> без ПДВ)</w:t>
            </w:r>
            <w:r w:rsidRPr="008F2FD5">
              <w:rPr>
                <w:iCs/>
                <w:sz w:val="20"/>
                <w:szCs w:val="20"/>
              </w:rPr>
              <w:t xml:space="preserve">,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E38F5">
            <w:pPr>
              <w:pStyle w:val="Default"/>
              <w:rPr>
                <w:sz w:val="20"/>
                <w:szCs w:val="20"/>
              </w:rPr>
            </w:pPr>
            <w:r w:rsidRPr="008A3998">
              <w:rPr>
                <w:sz w:val="20"/>
                <w:szCs w:val="20"/>
              </w:rPr>
              <w:t xml:space="preserve">Оплата послуг з </w:t>
            </w:r>
            <w:r w:rsidR="00C73E78">
              <w:rPr>
                <w:sz w:val="20"/>
                <w:szCs w:val="20"/>
              </w:rPr>
              <w:t xml:space="preserve">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E38F5">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proofErr w:type="spellStart"/>
            <w:r w:rsidR="00F009DC" w:rsidRPr="00D90461">
              <w:rPr>
                <w:b/>
                <w:sz w:val="20"/>
                <w:szCs w:val="20"/>
              </w:rPr>
              <w:t>banakhand</w:t>
            </w:r>
            <w:proofErr w:type="spellEnd"/>
            <w:r w:rsidR="00F009DC" w:rsidRPr="00D90461">
              <w:rPr>
                <w:b/>
                <w:sz w:val="20"/>
                <w:szCs w:val="20"/>
              </w:rPr>
              <w:t>@gmail.com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0733FF">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255091" w:rsidRPr="00255091">
              <w:rPr>
                <w:sz w:val="20"/>
                <w:szCs w:val="20"/>
                <w:lang w:val="ru-RU"/>
              </w:rPr>
              <w:t>2</w:t>
            </w:r>
            <w:r w:rsidR="000733FF" w:rsidRPr="000733FF">
              <w:rPr>
                <w:sz w:val="20"/>
                <w:szCs w:val="20"/>
                <w:lang w:val="ru-RU"/>
              </w:rPr>
              <w:t>3</w:t>
            </w:r>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lastRenderedPageBreak/>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0733FF">
            <w:pPr>
              <w:pStyle w:val="Default"/>
              <w:rPr>
                <w:b/>
                <w:sz w:val="16"/>
                <w:szCs w:val="16"/>
              </w:rPr>
            </w:pPr>
            <w:r>
              <w:rPr>
                <w:b/>
              </w:rPr>
              <w:t>Д</w:t>
            </w:r>
            <w:r w:rsidRPr="008A3998">
              <w:rPr>
                <w:b/>
              </w:rPr>
              <w:t xml:space="preserve">иректор </w:t>
            </w:r>
            <w:proofErr w:type="spellStart"/>
            <w:r w:rsidRPr="008A3998">
              <w:rPr>
                <w:b/>
              </w:rPr>
              <w:t>___________</w:t>
            </w:r>
            <w:r w:rsidR="000733FF">
              <w:rPr>
                <w:b/>
              </w:rPr>
              <w:t>Одине</w:t>
            </w:r>
            <w:proofErr w:type="spellEnd"/>
            <w:r w:rsidR="000733FF">
              <w:rPr>
                <w:b/>
              </w:rPr>
              <w:t>ць О.М.</w:t>
            </w:r>
            <w:bookmarkStart w:id="0" w:name="_GoBack"/>
            <w:bookmarkEnd w:id="0"/>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733FF"/>
    <w:rsid w:val="000A03A3"/>
    <w:rsid w:val="0015653A"/>
    <w:rsid w:val="00193D0E"/>
    <w:rsid w:val="00224C3C"/>
    <w:rsid w:val="00230586"/>
    <w:rsid w:val="00235576"/>
    <w:rsid w:val="00255091"/>
    <w:rsid w:val="00267629"/>
    <w:rsid w:val="002E4D83"/>
    <w:rsid w:val="00343192"/>
    <w:rsid w:val="00377CB8"/>
    <w:rsid w:val="00394F4C"/>
    <w:rsid w:val="00414ABA"/>
    <w:rsid w:val="004332A0"/>
    <w:rsid w:val="00535258"/>
    <w:rsid w:val="00535495"/>
    <w:rsid w:val="005F0DFA"/>
    <w:rsid w:val="00606823"/>
    <w:rsid w:val="0063474A"/>
    <w:rsid w:val="00634AC3"/>
    <w:rsid w:val="007218DA"/>
    <w:rsid w:val="00726351"/>
    <w:rsid w:val="00777B3A"/>
    <w:rsid w:val="008034C4"/>
    <w:rsid w:val="00826D54"/>
    <w:rsid w:val="008441FC"/>
    <w:rsid w:val="008A3998"/>
    <w:rsid w:val="008C639F"/>
    <w:rsid w:val="008F5F0A"/>
    <w:rsid w:val="00912CEF"/>
    <w:rsid w:val="00A762AB"/>
    <w:rsid w:val="00AB21C5"/>
    <w:rsid w:val="00C32EDD"/>
    <w:rsid w:val="00C73E78"/>
    <w:rsid w:val="00CA4FCC"/>
    <w:rsid w:val="00D80E06"/>
    <w:rsid w:val="00D90461"/>
    <w:rsid w:val="00E54978"/>
    <w:rsid w:val="00E8055F"/>
    <w:rsid w:val="00EB2BE6"/>
    <w:rsid w:val="00ED132B"/>
    <w:rsid w:val="00F009DC"/>
    <w:rsid w:val="00F1062A"/>
    <w:rsid w:val="00FE06B2"/>
    <w:rsid w:val="00FE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BE4A-F228-42A3-B3DD-3349F8B8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4551</Words>
  <Characters>2595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2020-05-07T13:03:00Z</dcterms:created>
  <dcterms:modified xsi:type="dcterms:W3CDTF">2023-05-10T12:08:00Z</dcterms:modified>
</cp:coreProperties>
</file>